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413"/>
        <w:tblW w:w="10632" w:type="dxa"/>
        <w:tblLook w:val="04A0" w:firstRow="1" w:lastRow="0" w:firstColumn="1" w:lastColumn="0" w:noHBand="0" w:noVBand="1"/>
      </w:tblPr>
      <w:tblGrid>
        <w:gridCol w:w="2376"/>
        <w:gridCol w:w="1561"/>
        <w:gridCol w:w="4294"/>
        <w:gridCol w:w="2401"/>
      </w:tblGrid>
      <w:tr w:rsidR="0040018F" w:rsidRPr="0093225E" w:rsidTr="006065A9">
        <w:trPr>
          <w:trHeight w:val="557"/>
        </w:trPr>
        <w:tc>
          <w:tcPr>
            <w:tcW w:w="2376" w:type="dxa"/>
            <w:vAlign w:val="center"/>
          </w:tcPr>
          <w:p w:rsidR="0040018F" w:rsidRPr="0093225E" w:rsidRDefault="0040018F" w:rsidP="005014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25E">
              <w:rPr>
                <w:rFonts w:ascii="Times New Roman" w:hAnsi="Times New Roman" w:cs="Times New Roman"/>
                <w:b/>
              </w:rPr>
              <w:t>İş Akışı</w:t>
            </w:r>
          </w:p>
        </w:tc>
        <w:tc>
          <w:tcPr>
            <w:tcW w:w="1561" w:type="dxa"/>
            <w:vAlign w:val="center"/>
          </w:tcPr>
          <w:p w:rsidR="0040018F" w:rsidRPr="0093225E" w:rsidRDefault="0040018F" w:rsidP="005014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25E">
              <w:rPr>
                <w:rFonts w:ascii="Times New Roman" w:hAnsi="Times New Roman" w:cs="Times New Roman"/>
                <w:b/>
              </w:rPr>
              <w:t>Sorumlular</w:t>
            </w:r>
          </w:p>
        </w:tc>
        <w:tc>
          <w:tcPr>
            <w:tcW w:w="4294" w:type="dxa"/>
            <w:vAlign w:val="center"/>
          </w:tcPr>
          <w:p w:rsidR="0040018F" w:rsidRPr="0093225E" w:rsidRDefault="0040018F" w:rsidP="005014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25E">
              <w:rPr>
                <w:rFonts w:ascii="Times New Roman" w:hAnsi="Times New Roman" w:cs="Times New Roman"/>
                <w:b/>
              </w:rPr>
              <w:t>Faaliyet</w:t>
            </w:r>
          </w:p>
        </w:tc>
        <w:tc>
          <w:tcPr>
            <w:tcW w:w="2401" w:type="dxa"/>
            <w:vAlign w:val="center"/>
          </w:tcPr>
          <w:p w:rsidR="0040018F" w:rsidRPr="0093225E" w:rsidRDefault="00CB217A" w:rsidP="005014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25E">
              <w:rPr>
                <w:rFonts w:ascii="Times New Roman" w:hAnsi="Times New Roman" w:cs="Times New Roman"/>
                <w:b/>
              </w:rPr>
              <w:t>Doküman</w:t>
            </w:r>
            <w:r w:rsidR="0040018F" w:rsidRPr="0093225E">
              <w:rPr>
                <w:rFonts w:ascii="Times New Roman" w:hAnsi="Times New Roman" w:cs="Times New Roman"/>
                <w:b/>
              </w:rPr>
              <w:t>/ Çıktı/Rapor</w:t>
            </w:r>
          </w:p>
        </w:tc>
      </w:tr>
      <w:tr w:rsidR="0040018F" w:rsidRPr="0093225E" w:rsidTr="006065A9">
        <w:trPr>
          <w:trHeight w:val="1415"/>
        </w:trPr>
        <w:tc>
          <w:tcPr>
            <w:tcW w:w="2376" w:type="dxa"/>
            <w:vAlign w:val="center"/>
          </w:tcPr>
          <w:p w:rsidR="0040018F" w:rsidRPr="0093225E" w:rsidRDefault="00505B0F" w:rsidP="00505B0F">
            <w:pPr>
              <w:jc w:val="center"/>
              <w:rPr>
                <w:rFonts w:ascii="Times New Roman" w:hAnsi="Times New Roman" w:cs="Times New Roman"/>
              </w:rPr>
            </w:pPr>
            <w:r w:rsidRPr="0093225E">
              <w:rPr>
                <w:rFonts w:ascii="Times New Roman" w:hAnsi="Times New Roman" w:cs="Times New Roman"/>
              </w:rPr>
              <w:t xml:space="preserve">Faturanın birimimize </w:t>
            </w:r>
            <w:r w:rsidR="00735D31">
              <w:rPr>
                <w:rFonts w:ascii="Times New Roman" w:hAnsi="Times New Roman" w:cs="Times New Roman"/>
              </w:rPr>
              <w:t>gönderilmesi, Gelen Faturaların kontrolü</w:t>
            </w:r>
          </w:p>
        </w:tc>
        <w:tc>
          <w:tcPr>
            <w:tcW w:w="1561" w:type="dxa"/>
            <w:vAlign w:val="center"/>
          </w:tcPr>
          <w:p w:rsidR="0040018F" w:rsidRPr="0093225E" w:rsidRDefault="00B27206" w:rsidP="0073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Aksa </w:t>
            </w:r>
            <w:r w:rsidR="00735D31">
              <w:rPr>
                <w:rFonts w:ascii="Times New Roman" w:hAnsi="Times New Roman" w:cs="Times New Roman"/>
              </w:rPr>
              <w:t xml:space="preserve">Elazığ </w:t>
            </w:r>
            <w:r>
              <w:rPr>
                <w:rFonts w:ascii="Times New Roman" w:hAnsi="Times New Roman" w:cs="Times New Roman"/>
              </w:rPr>
              <w:t>Doğal Gaz A.Ş.</w:t>
            </w:r>
            <w:r w:rsidR="006B00E5">
              <w:rPr>
                <w:rFonts w:ascii="Times New Roman" w:hAnsi="Times New Roman" w:cs="Times New Roman"/>
              </w:rPr>
              <w:t xml:space="preserve">/ </w:t>
            </w:r>
            <w:bookmarkStart w:id="0" w:name="_GoBack"/>
            <w:bookmarkEnd w:id="0"/>
            <w:r w:rsidR="006B00E5">
              <w:rPr>
                <w:rFonts w:ascii="Times New Roman" w:hAnsi="Times New Roman" w:cs="Times New Roman"/>
              </w:rPr>
              <w:t xml:space="preserve">Birim </w:t>
            </w:r>
            <w:r w:rsidR="00735D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94" w:type="dxa"/>
            <w:vAlign w:val="center"/>
          </w:tcPr>
          <w:p w:rsidR="0040018F" w:rsidRPr="0093225E" w:rsidRDefault="00735D31" w:rsidP="0073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Elazığ Aksa</w:t>
            </w:r>
            <w:r w:rsidR="00505B0F" w:rsidRPr="0093225E">
              <w:rPr>
                <w:rFonts w:ascii="Times New Roman" w:hAnsi="Times New Roman" w:cs="Times New Roman"/>
              </w:rPr>
              <w:t xml:space="preserve"> Doğal Gaz Dağıtım A.Ş. tarafından her ay kesilen </w:t>
            </w:r>
            <w:r>
              <w:rPr>
                <w:rFonts w:ascii="Times New Roman" w:hAnsi="Times New Roman" w:cs="Times New Roman"/>
              </w:rPr>
              <w:t xml:space="preserve">E Fatura </w:t>
            </w:r>
            <w:proofErr w:type="spellStart"/>
            <w:r>
              <w:rPr>
                <w:rFonts w:ascii="Times New Roman" w:hAnsi="Times New Roman" w:cs="Times New Roman"/>
              </w:rPr>
              <w:t>mys</w:t>
            </w:r>
            <w:proofErr w:type="spellEnd"/>
            <w:r>
              <w:rPr>
                <w:rFonts w:ascii="Times New Roman" w:hAnsi="Times New Roman" w:cs="Times New Roman"/>
              </w:rPr>
              <w:t xml:space="preserve"> sistemine otomatik olarak düşer. Gelen Faturalar Üst yazı ile birlikte Yapı İşleri Teknik Daire Başkanlığı tarafından kontrollerinin yapılaması için gönderilir.</w:t>
            </w:r>
          </w:p>
        </w:tc>
        <w:tc>
          <w:tcPr>
            <w:tcW w:w="2401" w:type="dxa"/>
            <w:vAlign w:val="center"/>
          </w:tcPr>
          <w:p w:rsidR="0040018F" w:rsidRPr="0093225E" w:rsidRDefault="00735D31" w:rsidP="00501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 </w:t>
            </w:r>
            <w:r w:rsidR="00505B0F" w:rsidRPr="0093225E">
              <w:rPr>
                <w:rFonts w:ascii="Times New Roman" w:hAnsi="Times New Roman" w:cs="Times New Roman"/>
              </w:rPr>
              <w:t>Fatura</w:t>
            </w:r>
          </w:p>
        </w:tc>
      </w:tr>
      <w:tr w:rsidR="0040018F" w:rsidRPr="0093225E" w:rsidTr="006065A9">
        <w:tc>
          <w:tcPr>
            <w:tcW w:w="2376" w:type="dxa"/>
            <w:vAlign w:val="center"/>
          </w:tcPr>
          <w:p w:rsidR="0040018F" w:rsidRPr="0093225E" w:rsidRDefault="00705BC6" w:rsidP="00501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17780</wp:posOffset>
                      </wp:positionV>
                      <wp:extent cx="183515" cy="111125"/>
                      <wp:effectExtent l="53975" t="12700" r="57785" b="28575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111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A3B01B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3" o:spid="_x0000_s1026" type="#_x0000_t67" style="position:absolute;margin-left:58.15pt;margin-top:1.4pt;width:14.45pt;height: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561" w:type="dxa"/>
            <w:vAlign w:val="center"/>
          </w:tcPr>
          <w:p w:rsidR="0040018F" w:rsidRPr="0093225E" w:rsidRDefault="0040018F" w:rsidP="005014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4" w:type="dxa"/>
            <w:vAlign w:val="center"/>
          </w:tcPr>
          <w:p w:rsidR="0040018F" w:rsidRPr="0093225E" w:rsidRDefault="0040018F" w:rsidP="005014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vAlign w:val="center"/>
          </w:tcPr>
          <w:p w:rsidR="0040018F" w:rsidRPr="0093225E" w:rsidRDefault="0040018F" w:rsidP="005014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18F" w:rsidRPr="0093225E" w:rsidTr="006065A9">
        <w:trPr>
          <w:trHeight w:val="870"/>
        </w:trPr>
        <w:tc>
          <w:tcPr>
            <w:tcW w:w="2376" w:type="dxa"/>
            <w:vAlign w:val="center"/>
          </w:tcPr>
          <w:p w:rsidR="0040018F" w:rsidRPr="0093225E" w:rsidRDefault="00505B0F" w:rsidP="005014E3">
            <w:pPr>
              <w:jc w:val="center"/>
              <w:rPr>
                <w:rFonts w:ascii="Times New Roman" w:hAnsi="Times New Roman" w:cs="Times New Roman"/>
              </w:rPr>
            </w:pPr>
            <w:r w:rsidRPr="0093225E">
              <w:rPr>
                <w:rFonts w:ascii="Times New Roman" w:hAnsi="Times New Roman" w:cs="Times New Roman"/>
              </w:rPr>
              <w:t>Bütçe kaleminde yeterli ödenek olup olmadığı kontrol edilir</w:t>
            </w:r>
          </w:p>
        </w:tc>
        <w:tc>
          <w:tcPr>
            <w:tcW w:w="1561" w:type="dxa"/>
            <w:vAlign w:val="center"/>
          </w:tcPr>
          <w:p w:rsidR="0040018F" w:rsidRPr="0093225E" w:rsidRDefault="00735D31" w:rsidP="00501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Sorumlu Personel</w:t>
            </w:r>
          </w:p>
        </w:tc>
        <w:tc>
          <w:tcPr>
            <w:tcW w:w="4294" w:type="dxa"/>
            <w:vAlign w:val="center"/>
          </w:tcPr>
          <w:p w:rsidR="0040018F" w:rsidRPr="0093225E" w:rsidRDefault="00735D31" w:rsidP="0073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Yeterli ödenek olup olmadığı kontrol edilir </w:t>
            </w:r>
            <w:r w:rsidR="00160347">
              <w:rPr>
                <w:rFonts w:ascii="Times New Roman" w:hAnsi="Times New Roman" w:cs="Times New Roman"/>
              </w:rPr>
              <w:t xml:space="preserve">Yeterli ödenek olmaması durumunda </w:t>
            </w:r>
            <w:proofErr w:type="spellStart"/>
            <w:r w:rsidR="00160347" w:rsidRPr="0093225E">
              <w:rPr>
                <w:rFonts w:ascii="Times New Roman" w:hAnsi="Times New Roman" w:cs="Times New Roman"/>
              </w:rPr>
              <w:t>SGDB'den</w:t>
            </w:r>
            <w:proofErr w:type="spellEnd"/>
            <w:r w:rsidR="00160347" w:rsidRPr="0093225E">
              <w:rPr>
                <w:rFonts w:ascii="Times New Roman" w:hAnsi="Times New Roman" w:cs="Times New Roman"/>
              </w:rPr>
              <w:t xml:space="preserve"> Ödenek Aktarımı veya ek ödenek </w:t>
            </w:r>
            <w:r>
              <w:rPr>
                <w:rFonts w:ascii="Times New Roman" w:hAnsi="Times New Roman" w:cs="Times New Roman"/>
              </w:rPr>
              <w:t>talebinde bulunulur.</w:t>
            </w:r>
          </w:p>
        </w:tc>
        <w:tc>
          <w:tcPr>
            <w:tcW w:w="2401" w:type="dxa"/>
            <w:vAlign w:val="center"/>
          </w:tcPr>
          <w:p w:rsidR="0040018F" w:rsidRPr="0093225E" w:rsidRDefault="00505B0F" w:rsidP="005014E3">
            <w:pPr>
              <w:jc w:val="center"/>
              <w:rPr>
                <w:rFonts w:ascii="Times New Roman" w:hAnsi="Times New Roman" w:cs="Times New Roman"/>
              </w:rPr>
            </w:pPr>
            <w:r w:rsidRPr="0093225E">
              <w:rPr>
                <w:rFonts w:ascii="Times New Roman" w:hAnsi="Times New Roman" w:cs="Times New Roman"/>
              </w:rPr>
              <w:t>Bütçe Ödenek Tablosu</w:t>
            </w:r>
          </w:p>
        </w:tc>
      </w:tr>
      <w:tr w:rsidR="00320678" w:rsidRPr="0093225E" w:rsidTr="006065A9">
        <w:trPr>
          <w:trHeight w:val="192"/>
        </w:trPr>
        <w:tc>
          <w:tcPr>
            <w:tcW w:w="2376" w:type="dxa"/>
            <w:vAlign w:val="center"/>
          </w:tcPr>
          <w:p w:rsidR="00320678" w:rsidRPr="0093225E" w:rsidRDefault="00705BC6" w:rsidP="00501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46355</wp:posOffset>
                      </wp:positionV>
                      <wp:extent cx="183515" cy="111125"/>
                      <wp:effectExtent l="55880" t="10795" r="55880" b="3048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111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F9037" id="AutoShape 5" o:spid="_x0000_s1026" type="#_x0000_t67" style="position:absolute;margin-left:61.3pt;margin-top:3.65pt;width:14.45pt;height: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561" w:type="dxa"/>
            <w:vAlign w:val="center"/>
          </w:tcPr>
          <w:p w:rsidR="00320678" w:rsidRPr="0093225E" w:rsidRDefault="00320678" w:rsidP="005014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4" w:type="dxa"/>
            <w:vAlign w:val="center"/>
          </w:tcPr>
          <w:p w:rsidR="00320678" w:rsidRPr="0093225E" w:rsidRDefault="00320678" w:rsidP="005014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vAlign w:val="center"/>
          </w:tcPr>
          <w:p w:rsidR="00320678" w:rsidRPr="0093225E" w:rsidRDefault="00320678" w:rsidP="005014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17A" w:rsidRPr="0093225E" w:rsidTr="006065A9">
        <w:trPr>
          <w:trHeight w:val="2557"/>
        </w:trPr>
        <w:tc>
          <w:tcPr>
            <w:tcW w:w="2376" w:type="dxa"/>
            <w:vAlign w:val="center"/>
          </w:tcPr>
          <w:p w:rsidR="00CB217A" w:rsidRPr="0093225E" w:rsidRDefault="00505B0F" w:rsidP="00917F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225E">
              <w:rPr>
                <w:rFonts w:ascii="Times New Roman" w:hAnsi="Times New Roman" w:cs="Times New Roman"/>
              </w:rPr>
              <w:t>MYS’de</w:t>
            </w:r>
            <w:proofErr w:type="spellEnd"/>
            <w:r w:rsidRPr="009322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17FC7">
              <w:rPr>
                <w:rFonts w:ascii="Times New Roman" w:hAnsi="Times New Roman" w:cs="Times New Roman"/>
              </w:rPr>
              <w:t>Hrcama</w:t>
            </w:r>
            <w:proofErr w:type="spellEnd"/>
            <w:r w:rsidR="00917FC7">
              <w:rPr>
                <w:rFonts w:ascii="Times New Roman" w:hAnsi="Times New Roman" w:cs="Times New Roman"/>
              </w:rPr>
              <w:t xml:space="preserve"> Talimatının</w:t>
            </w:r>
            <w:r w:rsidRPr="0093225E">
              <w:rPr>
                <w:rFonts w:ascii="Times New Roman" w:hAnsi="Times New Roman" w:cs="Times New Roman"/>
              </w:rPr>
              <w:t xml:space="preserve"> Hazırlanması</w:t>
            </w:r>
          </w:p>
        </w:tc>
        <w:tc>
          <w:tcPr>
            <w:tcW w:w="1561" w:type="dxa"/>
            <w:vAlign w:val="center"/>
          </w:tcPr>
          <w:p w:rsidR="00CB217A" w:rsidRPr="0093225E" w:rsidRDefault="00505B0F" w:rsidP="005014E3">
            <w:pPr>
              <w:jc w:val="center"/>
              <w:rPr>
                <w:rFonts w:ascii="Times New Roman" w:hAnsi="Times New Roman" w:cs="Times New Roman"/>
              </w:rPr>
            </w:pPr>
            <w:r w:rsidRPr="0093225E">
              <w:rPr>
                <w:rFonts w:ascii="Times New Roman" w:hAnsi="Times New Roman" w:cs="Times New Roman"/>
              </w:rPr>
              <w:t>Gerçekleştirme Görevlisi</w:t>
            </w:r>
          </w:p>
        </w:tc>
        <w:tc>
          <w:tcPr>
            <w:tcW w:w="4294" w:type="dxa"/>
            <w:vAlign w:val="center"/>
          </w:tcPr>
          <w:p w:rsidR="00CB217A" w:rsidRPr="0093225E" w:rsidRDefault="00735D31" w:rsidP="00917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Veri Giriş Görevlisi</w:t>
            </w:r>
            <w:r w:rsidR="00505B0F" w:rsidRPr="009322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</w:t>
            </w:r>
            <w:r w:rsidR="00917FC7">
              <w:rPr>
                <w:rFonts w:ascii="Times New Roman" w:hAnsi="Times New Roman" w:cs="Times New Roman"/>
              </w:rPr>
              <w:t>arcama talimatını hazırladıktan sonra Gerçekleştirme görevlisinin onayına gönderir Gerçekleştirme görevlisi onaylayarak Harcama yetkilisinin onayına gönderir.</w:t>
            </w:r>
            <w:r w:rsidR="00505B0F" w:rsidRPr="0093225E">
              <w:rPr>
                <w:rFonts w:ascii="Times New Roman" w:hAnsi="Times New Roman" w:cs="Times New Roman"/>
              </w:rPr>
              <w:t xml:space="preserve"> </w:t>
            </w:r>
            <w:r w:rsidR="00917FC7">
              <w:rPr>
                <w:rFonts w:ascii="Times New Roman" w:hAnsi="Times New Roman" w:cs="Times New Roman"/>
              </w:rPr>
              <w:t>Harcama Talimatı onaylandıktan sonra ödeme emri düzenlenir.</w:t>
            </w:r>
          </w:p>
        </w:tc>
        <w:tc>
          <w:tcPr>
            <w:tcW w:w="2401" w:type="dxa"/>
            <w:vAlign w:val="center"/>
          </w:tcPr>
          <w:p w:rsidR="00CB217A" w:rsidRPr="0093225E" w:rsidRDefault="00917FC7" w:rsidP="00501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Harcama Talimatı</w:t>
            </w:r>
          </w:p>
        </w:tc>
      </w:tr>
      <w:tr w:rsidR="0040018F" w:rsidRPr="0093225E" w:rsidTr="006065A9">
        <w:trPr>
          <w:trHeight w:val="421"/>
        </w:trPr>
        <w:tc>
          <w:tcPr>
            <w:tcW w:w="2376" w:type="dxa"/>
            <w:vAlign w:val="center"/>
          </w:tcPr>
          <w:p w:rsidR="0040018F" w:rsidRPr="0093225E" w:rsidRDefault="00705BC6" w:rsidP="00501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763270</wp:posOffset>
                      </wp:positionH>
                      <wp:positionV relativeFrom="paragraph">
                        <wp:posOffset>34290</wp:posOffset>
                      </wp:positionV>
                      <wp:extent cx="198755" cy="111125"/>
                      <wp:effectExtent l="59690" t="10795" r="55880" b="3048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111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7B4B2" id="AutoShape 4" o:spid="_x0000_s1026" type="#_x0000_t67" style="position:absolute;margin-left:60.1pt;margin-top:2.7pt;width:15.65pt;height: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561" w:type="dxa"/>
            <w:vAlign w:val="center"/>
          </w:tcPr>
          <w:p w:rsidR="0040018F" w:rsidRPr="0093225E" w:rsidRDefault="0040018F" w:rsidP="005014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4" w:type="dxa"/>
            <w:vAlign w:val="center"/>
          </w:tcPr>
          <w:p w:rsidR="0040018F" w:rsidRPr="0093225E" w:rsidRDefault="0040018F" w:rsidP="005014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vAlign w:val="center"/>
          </w:tcPr>
          <w:p w:rsidR="0040018F" w:rsidRPr="0093225E" w:rsidRDefault="0040018F" w:rsidP="005014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25E" w:rsidRPr="0093225E" w:rsidTr="006065A9">
        <w:trPr>
          <w:trHeight w:val="678"/>
        </w:trPr>
        <w:tc>
          <w:tcPr>
            <w:tcW w:w="2376" w:type="dxa"/>
            <w:vAlign w:val="center"/>
          </w:tcPr>
          <w:p w:rsidR="0093225E" w:rsidRPr="0093225E" w:rsidRDefault="0093225E" w:rsidP="009322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225E">
              <w:rPr>
                <w:rFonts w:ascii="Times New Roman" w:hAnsi="Times New Roman" w:cs="Times New Roman"/>
              </w:rPr>
              <w:t>MYS’de</w:t>
            </w:r>
            <w:proofErr w:type="spellEnd"/>
            <w:r w:rsidRPr="0093225E">
              <w:rPr>
                <w:rFonts w:ascii="Times New Roman" w:hAnsi="Times New Roman" w:cs="Times New Roman"/>
              </w:rPr>
              <w:t xml:space="preserve"> Ödeme Emri Belgesinin Onaylanması</w:t>
            </w:r>
          </w:p>
        </w:tc>
        <w:tc>
          <w:tcPr>
            <w:tcW w:w="1561" w:type="dxa"/>
            <w:vAlign w:val="center"/>
          </w:tcPr>
          <w:p w:rsidR="0093225E" w:rsidRPr="0093225E" w:rsidRDefault="00917FC7" w:rsidP="00932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Gerçekleştirme Görevlisi / </w:t>
            </w:r>
            <w:r w:rsidR="0093225E" w:rsidRPr="0093225E">
              <w:rPr>
                <w:rFonts w:ascii="Times New Roman" w:hAnsi="Times New Roman" w:cs="Times New Roman"/>
              </w:rPr>
              <w:t>Harcama Yetkilisi</w:t>
            </w:r>
          </w:p>
        </w:tc>
        <w:tc>
          <w:tcPr>
            <w:tcW w:w="4294" w:type="dxa"/>
            <w:vAlign w:val="center"/>
          </w:tcPr>
          <w:p w:rsidR="0093225E" w:rsidRPr="0093225E" w:rsidRDefault="00917FC7" w:rsidP="00917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Veri giriş görevlisi ödeme emri belgesini hazırladıktan sonra Gerçekleştirme görevlisinin onayından sonra </w:t>
            </w:r>
            <w:r w:rsidR="006065A9">
              <w:rPr>
                <w:rFonts w:ascii="Times New Roman" w:hAnsi="Times New Roman" w:cs="Times New Roman"/>
              </w:rPr>
              <w:t xml:space="preserve">Harcama yetkilisinin onayına gönderilir. Harcama yetkilisi </w:t>
            </w:r>
            <w:r w:rsidR="0093225E" w:rsidRPr="0093225E">
              <w:rPr>
                <w:rFonts w:ascii="Times New Roman" w:hAnsi="Times New Roman" w:cs="Times New Roman"/>
              </w:rPr>
              <w:t xml:space="preserve">Hazırlanan belgelerin uygunluğunu kontrol ederek Onay butonu ve Muhasebe Birimine Gönder butonu ile ÖEB ve eklerini </w:t>
            </w:r>
            <w:r w:rsidR="006065A9">
              <w:rPr>
                <w:rFonts w:ascii="Times New Roman" w:hAnsi="Times New Roman" w:cs="Times New Roman"/>
              </w:rPr>
              <w:t xml:space="preserve">sistem üzerinden </w:t>
            </w:r>
            <w:r w:rsidR="0093225E" w:rsidRPr="0093225E">
              <w:rPr>
                <w:rFonts w:ascii="Times New Roman" w:hAnsi="Times New Roman" w:cs="Times New Roman"/>
              </w:rPr>
              <w:t>Muhasebe Birimine gönderir.</w:t>
            </w:r>
          </w:p>
        </w:tc>
        <w:tc>
          <w:tcPr>
            <w:tcW w:w="2401" w:type="dxa"/>
            <w:vAlign w:val="center"/>
          </w:tcPr>
          <w:p w:rsidR="0093225E" w:rsidRPr="0093225E" w:rsidRDefault="0093225E" w:rsidP="0093225E">
            <w:pPr>
              <w:jc w:val="center"/>
              <w:rPr>
                <w:rFonts w:ascii="Times New Roman" w:hAnsi="Times New Roman" w:cs="Times New Roman"/>
              </w:rPr>
            </w:pPr>
            <w:r w:rsidRPr="0093225E">
              <w:rPr>
                <w:rFonts w:ascii="Times New Roman" w:hAnsi="Times New Roman" w:cs="Times New Roman"/>
              </w:rPr>
              <w:t>Ödeme Emri Belgesi</w:t>
            </w:r>
          </w:p>
        </w:tc>
      </w:tr>
    </w:tbl>
    <w:p w:rsidR="0040018F" w:rsidRDefault="001C04F3" w:rsidP="001C04F3">
      <w:pPr>
        <w:jc w:val="center"/>
      </w:pPr>
      <w:r>
        <w:rPr>
          <w:rFonts w:ascii="Arial" w:hAnsi="Arial" w:cs="Arial"/>
          <w:b/>
        </w:rPr>
        <w:t>DOĞAL GAZ FATURASI ÖDEME İŞ AKIŞ ŞEMASI</w:t>
      </w:r>
    </w:p>
    <w:p w:rsidR="0040018F" w:rsidRDefault="0040018F" w:rsidP="0040018F"/>
    <w:p w:rsidR="0057042C" w:rsidRDefault="0057042C"/>
    <w:sectPr w:rsidR="0057042C" w:rsidSect="00563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0E"/>
    <w:rsid w:val="000B71DF"/>
    <w:rsid w:val="00160347"/>
    <w:rsid w:val="00164217"/>
    <w:rsid w:val="0017552A"/>
    <w:rsid w:val="001C04F3"/>
    <w:rsid w:val="00267E09"/>
    <w:rsid w:val="0030160E"/>
    <w:rsid w:val="00320678"/>
    <w:rsid w:val="0032798A"/>
    <w:rsid w:val="003406CD"/>
    <w:rsid w:val="0040018F"/>
    <w:rsid w:val="004C66D7"/>
    <w:rsid w:val="004E4785"/>
    <w:rsid w:val="005014E3"/>
    <w:rsid w:val="00505B0F"/>
    <w:rsid w:val="00531834"/>
    <w:rsid w:val="0057042C"/>
    <w:rsid w:val="005A5FC6"/>
    <w:rsid w:val="006065A9"/>
    <w:rsid w:val="0069281F"/>
    <w:rsid w:val="006B00E5"/>
    <w:rsid w:val="00705BC6"/>
    <w:rsid w:val="00735D31"/>
    <w:rsid w:val="00866BBA"/>
    <w:rsid w:val="00917FC7"/>
    <w:rsid w:val="0093225E"/>
    <w:rsid w:val="009F26E7"/>
    <w:rsid w:val="00A47A3C"/>
    <w:rsid w:val="00A8665A"/>
    <w:rsid w:val="00B27206"/>
    <w:rsid w:val="00B67C6C"/>
    <w:rsid w:val="00BD3AFD"/>
    <w:rsid w:val="00CB217A"/>
    <w:rsid w:val="00D77B9B"/>
    <w:rsid w:val="00E21C68"/>
    <w:rsid w:val="00EF02D1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67CAF"/>
  <w15:docId w15:val="{1C012059-264B-4EAA-BB68-2F8BA551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A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0018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technopc</dc:creator>
  <cp:lastModifiedBy>Serap</cp:lastModifiedBy>
  <cp:revision>6</cp:revision>
  <dcterms:created xsi:type="dcterms:W3CDTF">2025-05-06T14:46:00Z</dcterms:created>
  <dcterms:modified xsi:type="dcterms:W3CDTF">2025-05-12T13:10:00Z</dcterms:modified>
</cp:coreProperties>
</file>